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0F" w:rsidRPr="00AF2A0F" w:rsidRDefault="00AF2A0F" w:rsidP="00AF2A0F">
      <w:pPr>
        <w:pStyle w:val="Heading2"/>
        <w:rPr>
          <w:rStyle w:val="IntenseEmphasis"/>
        </w:rPr>
      </w:pPr>
      <w:r w:rsidRPr="00AF2A0F">
        <w:rPr>
          <w:rStyle w:val="IntenseEmphasis"/>
        </w:rPr>
        <w:t xml:space="preserve">Observations </w:t>
      </w:r>
      <w:r>
        <w:rPr>
          <w:rStyle w:val="IntenseEmphasis"/>
        </w:rPr>
        <w:t>from the review of</w:t>
      </w:r>
      <w:r w:rsidRPr="00AF2A0F">
        <w:rPr>
          <w:rStyle w:val="IntenseEmphasis"/>
        </w:rPr>
        <w:t xml:space="preserve"> “</w:t>
      </w:r>
      <w:proofErr w:type="spellStart"/>
      <w:r w:rsidRPr="00AF2A0F">
        <w:rPr>
          <w:rStyle w:val="IntenseEmphasis"/>
        </w:rPr>
        <w:t>WRAP_Facility_CAPs</w:t>
      </w:r>
      <w:proofErr w:type="spellEnd"/>
      <w:r w:rsidRPr="00AF2A0F">
        <w:rPr>
          <w:rStyle w:val="IntenseEmphasis"/>
        </w:rPr>
        <w:t xml:space="preserve"> Summary </w:t>
      </w:r>
      <w:proofErr w:type="spellStart"/>
      <w:r w:rsidRPr="00AF2A0F">
        <w:rPr>
          <w:rStyle w:val="IntenseEmphasis"/>
        </w:rPr>
        <w:t>xlx</w:t>
      </w:r>
      <w:proofErr w:type="spellEnd"/>
      <w:r w:rsidRPr="00AF2A0F">
        <w:rPr>
          <w:rStyle w:val="IntenseEmphasis"/>
        </w:rPr>
        <w:t>”</w:t>
      </w:r>
      <w:r w:rsidR="00C10A82">
        <w:rPr>
          <w:rStyle w:val="IntenseEmphasis"/>
        </w:rPr>
        <w:t xml:space="preserve"> and </w:t>
      </w:r>
      <w:r w:rsidR="00334ED0">
        <w:rPr>
          <w:rStyle w:val="IntenseEmphasis"/>
        </w:rPr>
        <w:t>FHT2014NWEIv2_summary”</w:t>
      </w:r>
    </w:p>
    <w:p w:rsidR="00AF2A0F" w:rsidRDefault="00AF2A0F" w:rsidP="001E43D0">
      <w:pPr>
        <w:rPr>
          <w:rFonts w:ascii="Calibri" w:hAnsi="Calibri"/>
          <w:color w:val="1F497D"/>
          <w:sz w:val="22"/>
          <w:szCs w:val="22"/>
          <w:u w:val="single"/>
        </w:rPr>
      </w:pPr>
    </w:p>
    <w:p w:rsidR="001E43D0" w:rsidRDefault="001E43D0" w:rsidP="00224AB8">
      <w:pPr>
        <w:pStyle w:val="Heading1"/>
      </w:pPr>
      <w:r w:rsidRPr="001E43D0">
        <w:t>Airport/Airplane emissions</w:t>
      </w:r>
      <w:r>
        <w:t xml:space="preserve">  </w:t>
      </w:r>
    </w:p>
    <w:p w:rsidR="00AF2A0F" w:rsidRDefault="001E43D0" w:rsidP="001E43D0">
      <w:pPr>
        <w:rPr>
          <w:rFonts w:ascii="Calibri" w:hAnsi="Calibri"/>
          <w:color w:val="1F497D"/>
          <w:sz w:val="22"/>
          <w:szCs w:val="22"/>
        </w:rPr>
      </w:pPr>
      <w:r>
        <w:rPr>
          <w:rFonts w:ascii="Calibri" w:hAnsi="Calibri"/>
          <w:color w:val="1F497D"/>
          <w:sz w:val="22"/>
          <w:szCs w:val="22"/>
        </w:rPr>
        <w:t>Mobile vs. Point Sources</w:t>
      </w:r>
      <w:r w:rsidR="00AF2A0F">
        <w:rPr>
          <w:rFonts w:ascii="Calibri" w:hAnsi="Calibri"/>
          <w:color w:val="1F497D"/>
          <w:sz w:val="22"/>
          <w:szCs w:val="22"/>
        </w:rPr>
        <w:t xml:space="preserve"> - While the emissions were focused on point sources, I want to note that the mobile sources-aircraft is mobile.  </w:t>
      </w:r>
      <w:r w:rsidR="00AF2A0F">
        <w:rPr>
          <w:rFonts w:ascii="Calibri" w:hAnsi="Calibri"/>
          <w:color w:val="1F497D"/>
          <w:sz w:val="22"/>
          <w:szCs w:val="22"/>
        </w:rPr>
        <w:t xml:space="preserve">When I discussed this with EPA I learned that they included airport emissions in our point sources instead of nonpoint mobile.   </w:t>
      </w:r>
      <w:r w:rsidR="00AF2A0F">
        <w:rPr>
          <w:rFonts w:ascii="Calibri" w:hAnsi="Calibri"/>
          <w:color w:val="1F497D"/>
          <w:sz w:val="22"/>
          <w:szCs w:val="22"/>
        </w:rPr>
        <w:t xml:space="preserve">  I support their inclusion into the data review because AK has a lot of airports and airstrips and the emissions are relevant. </w:t>
      </w:r>
    </w:p>
    <w:p w:rsidR="00AF2A0F" w:rsidRDefault="00AF2A0F" w:rsidP="001E43D0">
      <w:pPr>
        <w:rPr>
          <w:rFonts w:ascii="Calibri" w:hAnsi="Calibri"/>
          <w:color w:val="1F497D"/>
          <w:sz w:val="22"/>
          <w:szCs w:val="22"/>
        </w:rPr>
      </w:pPr>
    </w:p>
    <w:p w:rsidR="001E43D0" w:rsidRDefault="001E43D0" w:rsidP="00224AB8">
      <w:pPr>
        <w:pStyle w:val="Heading1"/>
      </w:pPr>
      <w:r w:rsidRPr="001E43D0">
        <w:t>Marine Emissions</w:t>
      </w:r>
    </w:p>
    <w:p w:rsidR="00AF2A0F" w:rsidRDefault="00AF2A0F" w:rsidP="001E43D0">
      <w:pPr>
        <w:rPr>
          <w:rFonts w:ascii="Calibri" w:hAnsi="Calibri"/>
          <w:color w:val="1F497D"/>
          <w:sz w:val="22"/>
          <w:szCs w:val="22"/>
        </w:rPr>
      </w:pPr>
      <w:r w:rsidRPr="00AF2A0F">
        <w:rPr>
          <w:rFonts w:ascii="Calibri" w:hAnsi="Calibri"/>
          <w:color w:val="1F497D"/>
          <w:sz w:val="22"/>
          <w:szCs w:val="22"/>
        </w:rPr>
        <w:t xml:space="preserve">This data is </w:t>
      </w:r>
      <w:r>
        <w:rPr>
          <w:rFonts w:ascii="Calibri" w:hAnsi="Calibri"/>
          <w:color w:val="1F497D"/>
          <w:sz w:val="22"/>
          <w:szCs w:val="22"/>
        </w:rPr>
        <w:t>insufficient.  The spreadsheet identifies only one marine cargo handling</w:t>
      </w:r>
      <w:r w:rsidR="00224AB8">
        <w:rPr>
          <w:rFonts w:ascii="Calibri" w:hAnsi="Calibri"/>
          <w:color w:val="1F497D"/>
          <w:sz w:val="22"/>
          <w:szCs w:val="22"/>
        </w:rPr>
        <w:t xml:space="preserve"> port</w:t>
      </w:r>
      <w:r>
        <w:rPr>
          <w:rFonts w:ascii="Calibri" w:hAnsi="Calibri"/>
          <w:color w:val="1F497D"/>
          <w:sz w:val="22"/>
          <w:szCs w:val="22"/>
        </w:rPr>
        <w:t xml:space="preserve"> in the data set – Valdez Marine Terminal</w:t>
      </w:r>
      <w:r w:rsidR="00224AB8">
        <w:rPr>
          <w:rFonts w:ascii="Calibri" w:hAnsi="Calibri"/>
          <w:color w:val="1F497D"/>
          <w:sz w:val="22"/>
          <w:szCs w:val="22"/>
        </w:rPr>
        <w:t xml:space="preserve"> which is a private facility.  The rationale to include this and not a facility that is used</w:t>
      </w:r>
      <w:r w:rsidR="00324268">
        <w:rPr>
          <w:rFonts w:ascii="Calibri" w:hAnsi="Calibri"/>
          <w:color w:val="1F497D"/>
          <w:sz w:val="22"/>
          <w:szCs w:val="22"/>
        </w:rPr>
        <w:t xml:space="preserve"> to support other industries i.e. mining results in inaccurate and insufficient data. </w:t>
      </w:r>
      <w:r>
        <w:rPr>
          <w:rFonts w:ascii="Calibri" w:hAnsi="Calibri"/>
          <w:color w:val="1F497D"/>
          <w:sz w:val="22"/>
          <w:szCs w:val="22"/>
        </w:rPr>
        <w:t xml:space="preserve">  </w:t>
      </w:r>
    </w:p>
    <w:p w:rsidR="004F3A03" w:rsidRDefault="004F3A03" w:rsidP="001E43D0">
      <w:pPr>
        <w:rPr>
          <w:rFonts w:ascii="Calibri" w:hAnsi="Calibri"/>
          <w:color w:val="1F497D"/>
          <w:sz w:val="22"/>
          <w:szCs w:val="22"/>
        </w:rPr>
      </w:pPr>
    </w:p>
    <w:p w:rsidR="00AF2A0F" w:rsidRDefault="00224AB8" w:rsidP="001E43D0">
      <w:pPr>
        <w:rPr>
          <w:rFonts w:ascii="Calibri" w:hAnsi="Calibri"/>
          <w:color w:val="1F497D"/>
          <w:sz w:val="22"/>
          <w:szCs w:val="22"/>
        </w:rPr>
      </w:pPr>
      <w:r w:rsidRPr="00224AB8">
        <w:rPr>
          <w:rFonts w:ascii="Calibri" w:hAnsi="Calibri"/>
          <w:color w:val="1F497D"/>
          <w:sz w:val="22"/>
          <w:szCs w:val="22"/>
        </w:rPr>
        <w:t xml:space="preserve">In the </w:t>
      </w:r>
      <w:r>
        <w:rPr>
          <w:rFonts w:ascii="Calibri" w:hAnsi="Calibri"/>
          <w:color w:val="1F497D"/>
          <w:sz w:val="22"/>
          <w:szCs w:val="22"/>
        </w:rPr>
        <w:t xml:space="preserve">documentation </w:t>
      </w:r>
      <w:r w:rsidRPr="00224AB8">
        <w:rPr>
          <w:rFonts w:ascii="Calibri" w:hAnsi="Calibri"/>
          <w:color w:val="1F497D"/>
          <w:sz w:val="22"/>
          <w:szCs w:val="22"/>
        </w:rPr>
        <w:t>files I have,</w:t>
      </w:r>
      <w:r>
        <w:rPr>
          <w:rFonts w:ascii="Calibri" w:hAnsi="Calibri"/>
          <w:color w:val="1F497D"/>
          <w:sz w:val="22"/>
          <w:szCs w:val="22"/>
        </w:rPr>
        <w:t xml:space="preserve"> the reviewer of the data noted that the ports reviewed were the following but I don’t see these in the data provided for NEI 2014.v2.  It seems that that the only port listed was </w:t>
      </w:r>
      <w:proofErr w:type="spellStart"/>
      <w:r>
        <w:rPr>
          <w:rFonts w:ascii="Calibri" w:hAnsi="Calibri"/>
          <w:color w:val="1F497D"/>
          <w:sz w:val="22"/>
          <w:szCs w:val="22"/>
        </w:rPr>
        <w:t>Valdex</w:t>
      </w:r>
      <w:proofErr w:type="spellEnd"/>
      <w:r>
        <w:rPr>
          <w:rFonts w:ascii="Calibri" w:hAnsi="Calibri"/>
          <w:color w:val="1F497D"/>
          <w:sz w:val="22"/>
          <w:szCs w:val="22"/>
        </w:rPr>
        <w:t xml:space="preserve"> marine terminal.  Fishing at Valdez would be at the city dock yet there is no data available and all of the following ports would be relevant to regional haze.</w:t>
      </w:r>
    </w:p>
    <w:p w:rsidR="00224AB8" w:rsidRDefault="00224AB8" w:rsidP="001E43D0">
      <w:pPr>
        <w:rPr>
          <w:rFonts w:ascii="Calibri" w:hAnsi="Calibri"/>
          <w:color w:val="1F497D"/>
          <w:sz w:val="22"/>
          <w:szCs w:val="22"/>
        </w:rPr>
      </w:pPr>
    </w:p>
    <w:p w:rsidR="00224AB8" w:rsidRPr="00224AB8" w:rsidRDefault="00224AB8" w:rsidP="00224AB8">
      <w:pPr>
        <w:rPr>
          <w:rFonts w:ascii="Calibri" w:hAnsi="Calibri"/>
          <w:color w:val="1F497D"/>
          <w:sz w:val="22"/>
          <w:szCs w:val="22"/>
        </w:rPr>
      </w:pPr>
      <w:r w:rsidRPr="00224AB8">
        <w:rPr>
          <w:rFonts w:ascii="Calibri" w:hAnsi="Calibri" w:hint="eastAsia"/>
          <w:color w:val="1F497D"/>
          <w:sz w:val="22"/>
          <w:szCs w:val="22"/>
        </w:rPr>
        <w:t>•</w:t>
      </w:r>
      <w:r w:rsidRPr="00224AB8">
        <w:rPr>
          <w:rFonts w:ascii="Calibri" w:hAnsi="Calibri"/>
          <w:color w:val="1F497D"/>
          <w:sz w:val="22"/>
          <w:szCs w:val="22"/>
        </w:rPr>
        <w:t xml:space="preserve"> </w:t>
      </w:r>
      <w:r>
        <w:rPr>
          <w:rFonts w:ascii="Calibri" w:hAnsi="Calibri"/>
          <w:color w:val="1F497D"/>
          <w:sz w:val="22"/>
          <w:szCs w:val="22"/>
        </w:rPr>
        <w:t>Anchorage (major cargo center)</w:t>
      </w:r>
    </w:p>
    <w:p w:rsidR="00224AB8" w:rsidRPr="00224AB8" w:rsidRDefault="00224AB8" w:rsidP="00224AB8">
      <w:pPr>
        <w:rPr>
          <w:rFonts w:ascii="Calibri" w:hAnsi="Calibri"/>
          <w:color w:val="1F497D"/>
          <w:sz w:val="22"/>
          <w:szCs w:val="22"/>
        </w:rPr>
      </w:pPr>
      <w:r w:rsidRPr="00224AB8">
        <w:rPr>
          <w:rFonts w:ascii="Calibri" w:hAnsi="Calibri" w:hint="eastAsia"/>
          <w:color w:val="1F497D"/>
          <w:sz w:val="22"/>
          <w:szCs w:val="22"/>
        </w:rPr>
        <w:t>•</w:t>
      </w:r>
      <w:r w:rsidRPr="00224AB8">
        <w:rPr>
          <w:rFonts w:ascii="Calibri" w:hAnsi="Calibri"/>
          <w:color w:val="1F497D"/>
          <w:sz w:val="22"/>
          <w:szCs w:val="22"/>
        </w:rPr>
        <w:t xml:space="preserve"> Dutch Ha</w:t>
      </w:r>
      <w:r>
        <w:rPr>
          <w:rFonts w:ascii="Calibri" w:hAnsi="Calibri"/>
          <w:color w:val="1F497D"/>
          <w:sz w:val="22"/>
          <w:szCs w:val="22"/>
        </w:rPr>
        <w:t>rbor (major seafood processing)</w:t>
      </w:r>
    </w:p>
    <w:p w:rsidR="00224AB8" w:rsidRPr="00224AB8" w:rsidRDefault="00224AB8" w:rsidP="00224AB8">
      <w:pPr>
        <w:rPr>
          <w:rFonts w:ascii="Calibri" w:hAnsi="Calibri"/>
          <w:color w:val="1F497D"/>
          <w:sz w:val="22"/>
          <w:szCs w:val="22"/>
        </w:rPr>
      </w:pPr>
      <w:r w:rsidRPr="00224AB8">
        <w:rPr>
          <w:rFonts w:ascii="Calibri" w:hAnsi="Calibri" w:hint="eastAsia"/>
          <w:color w:val="1F497D"/>
          <w:sz w:val="22"/>
          <w:szCs w:val="22"/>
        </w:rPr>
        <w:t>•</w:t>
      </w:r>
      <w:r w:rsidRPr="00224AB8">
        <w:rPr>
          <w:rFonts w:ascii="Calibri" w:hAnsi="Calibri"/>
          <w:color w:val="1F497D"/>
          <w:sz w:val="22"/>
          <w:szCs w:val="22"/>
        </w:rPr>
        <w:t xml:space="preserve"> Homer </w:t>
      </w:r>
      <w:r>
        <w:rPr>
          <w:rFonts w:ascii="Calibri" w:hAnsi="Calibri"/>
          <w:color w:val="1F497D"/>
          <w:sz w:val="22"/>
          <w:szCs w:val="22"/>
        </w:rPr>
        <w:t>(ferry/fishing/cargo)</w:t>
      </w:r>
    </w:p>
    <w:p w:rsidR="00224AB8" w:rsidRPr="00224AB8" w:rsidRDefault="00224AB8" w:rsidP="00224AB8">
      <w:pPr>
        <w:rPr>
          <w:rFonts w:ascii="Calibri" w:hAnsi="Calibri"/>
          <w:color w:val="1F497D"/>
          <w:sz w:val="22"/>
          <w:szCs w:val="22"/>
        </w:rPr>
      </w:pPr>
      <w:r w:rsidRPr="00224AB8">
        <w:rPr>
          <w:rFonts w:ascii="Calibri" w:hAnsi="Calibri" w:hint="eastAsia"/>
          <w:color w:val="1F497D"/>
          <w:sz w:val="22"/>
          <w:szCs w:val="22"/>
        </w:rPr>
        <w:t>•</w:t>
      </w:r>
      <w:r w:rsidRPr="00224AB8">
        <w:rPr>
          <w:rFonts w:ascii="Calibri" w:hAnsi="Calibri"/>
          <w:color w:val="1F497D"/>
          <w:sz w:val="22"/>
          <w:szCs w:val="22"/>
        </w:rPr>
        <w:t xml:space="preserve"> Juneau (major cruise </w:t>
      </w:r>
      <w:r>
        <w:rPr>
          <w:rFonts w:ascii="Calibri" w:hAnsi="Calibri"/>
          <w:color w:val="1F497D"/>
          <w:sz w:val="22"/>
          <w:szCs w:val="22"/>
        </w:rPr>
        <w:t>destination/ferry/fishing/etc.)</w:t>
      </w:r>
    </w:p>
    <w:p w:rsidR="00224AB8" w:rsidRPr="00224AB8" w:rsidRDefault="00224AB8" w:rsidP="00224AB8">
      <w:pPr>
        <w:rPr>
          <w:rFonts w:ascii="Calibri" w:hAnsi="Calibri"/>
          <w:color w:val="1F497D"/>
          <w:sz w:val="22"/>
          <w:szCs w:val="22"/>
        </w:rPr>
      </w:pPr>
      <w:r w:rsidRPr="00224AB8">
        <w:rPr>
          <w:rFonts w:ascii="Calibri" w:hAnsi="Calibri" w:hint="eastAsia"/>
          <w:color w:val="1F497D"/>
          <w:sz w:val="22"/>
          <w:szCs w:val="22"/>
        </w:rPr>
        <w:t>•</w:t>
      </w:r>
      <w:r w:rsidRPr="00224AB8">
        <w:rPr>
          <w:rFonts w:ascii="Calibri" w:hAnsi="Calibri"/>
          <w:color w:val="1F497D"/>
          <w:sz w:val="22"/>
          <w:szCs w:val="22"/>
        </w:rPr>
        <w:t xml:space="preserve"> Ketchikan (major cruise </w:t>
      </w:r>
      <w:r>
        <w:rPr>
          <w:rFonts w:ascii="Calibri" w:hAnsi="Calibri"/>
          <w:color w:val="1F497D"/>
          <w:sz w:val="22"/>
          <w:szCs w:val="22"/>
        </w:rPr>
        <w:t>destination/ferry/fishing/etc.)</w:t>
      </w:r>
    </w:p>
    <w:p w:rsidR="00224AB8" w:rsidRPr="00224AB8" w:rsidRDefault="00224AB8" w:rsidP="00224AB8">
      <w:pPr>
        <w:rPr>
          <w:rFonts w:ascii="Calibri" w:hAnsi="Calibri"/>
          <w:color w:val="1F497D"/>
          <w:sz w:val="22"/>
          <w:szCs w:val="22"/>
        </w:rPr>
      </w:pPr>
      <w:r w:rsidRPr="00224AB8">
        <w:rPr>
          <w:rFonts w:ascii="Calibri" w:hAnsi="Calibri" w:hint="eastAsia"/>
          <w:color w:val="1F497D"/>
          <w:sz w:val="22"/>
          <w:szCs w:val="22"/>
        </w:rPr>
        <w:t>•</w:t>
      </w:r>
      <w:r w:rsidRPr="00224AB8">
        <w:rPr>
          <w:rFonts w:ascii="Calibri" w:hAnsi="Calibri"/>
          <w:color w:val="1F497D"/>
          <w:sz w:val="22"/>
          <w:szCs w:val="22"/>
        </w:rPr>
        <w:t xml:space="preserve"> </w:t>
      </w:r>
      <w:r>
        <w:rPr>
          <w:rFonts w:ascii="Calibri" w:hAnsi="Calibri"/>
          <w:color w:val="1F497D"/>
          <w:sz w:val="22"/>
          <w:szCs w:val="22"/>
        </w:rPr>
        <w:t>Kivalina (port for large mine)</w:t>
      </w:r>
    </w:p>
    <w:p w:rsidR="00224AB8" w:rsidRPr="00224AB8" w:rsidRDefault="00224AB8" w:rsidP="00224AB8">
      <w:pPr>
        <w:rPr>
          <w:rFonts w:ascii="Calibri" w:hAnsi="Calibri"/>
          <w:color w:val="1F497D"/>
          <w:sz w:val="22"/>
          <w:szCs w:val="22"/>
        </w:rPr>
      </w:pPr>
      <w:r w:rsidRPr="00224AB8">
        <w:rPr>
          <w:rFonts w:ascii="Calibri" w:hAnsi="Calibri" w:hint="eastAsia"/>
          <w:color w:val="1F497D"/>
          <w:sz w:val="22"/>
          <w:szCs w:val="22"/>
        </w:rPr>
        <w:t>•</w:t>
      </w:r>
      <w:r w:rsidRPr="00224AB8">
        <w:rPr>
          <w:rFonts w:ascii="Calibri" w:hAnsi="Calibri"/>
          <w:color w:val="1F497D"/>
          <w:sz w:val="22"/>
          <w:szCs w:val="22"/>
        </w:rPr>
        <w:t xml:space="preserve"> </w:t>
      </w:r>
      <w:r>
        <w:rPr>
          <w:rFonts w:ascii="Calibri" w:hAnsi="Calibri"/>
          <w:color w:val="1F497D"/>
          <w:sz w:val="22"/>
          <w:szCs w:val="22"/>
        </w:rPr>
        <w:t>Kodiak (ferry/fishing/cargo)</w:t>
      </w:r>
    </w:p>
    <w:p w:rsidR="00224AB8" w:rsidRPr="00224AB8" w:rsidRDefault="00224AB8" w:rsidP="00224AB8">
      <w:pPr>
        <w:rPr>
          <w:rFonts w:ascii="Calibri" w:hAnsi="Calibri"/>
          <w:color w:val="1F497D"/>
          <w:sz w:val="22"/>
          <w:szCs w:val="22"/>
        </w:rPr>
      </w:pPr>
      <w:r w:rsidRPr="00224AB8">
        <w:rPr>
          <w:rFonts w:ascii="Calibri" w:hAnsi="Calibri" w:hint="eastAsia"/>
          <w:color w:val="1F497D"/>
          <w:sz w:val="22"/>
          <w:szCs w:val="22"/>
        </w:rPr>
        <w:t>•</w:t>
      </w:r>
      <w:r w:rsidRPr="00224AB8">
        <w:rPr>
          <w:rFonts w:ascii="Calibri" w:hAnsi="Calibri"/>
          <w:color w:val="1F497D"/>
          <w:sz w:val="22"/>
          <w:szCs w:val="22"/>
        </w:rPr>
        <w:t xml:space="preserve"> </w:t>
      </w:r>
      <w:r>
        <w:rPr>
          <w:rFonts w:ascii="Calibri" w:hAnsi="Calibri"/>
          <w:color w:val="1F497D"/>
          <w:sz w:val="22"/>
          <w:szCs w:val="22"/>
        </w:rPr>
        <w:t>Nikiski (industrial cargo)</w:t>
      </w:r>
    </w:p>
    <w:p w:rsidR="00224AB8" w:rsidRPr="00224AB8" w:rsidRDefault="00224AB8" w:rsidP="00224AB8">
      <w:pPr>
        <w:rPr>
          <w:rFonts w:ascii="Calibri" w:hAnsi="Calibri"/>
          <w:color w:val="1F497D"/>
          <w:sz w:val="22"/>
          <w:szCs w:val="22"/>
        </w:rPr>
      </w:pPr>
      <w:r w:rsidRPr="00224AB8">
        <w:rPr>
          <w:rFonts w:ascii="Calibri" w:hAnsi="Calibri" w:hint="eastAsia"/>
          <w:color w:val="1F497D"/>
          <w:sz w:val="22"/>
          <w:szCs w:val="22"/>
        </w:rPr>
        <w:t>•</w:t>
      </w:r>
      <w:r w:rsidRPr="00224AB8">
        <w:rPr>
          <w:rFonts w:ascii="Calibri" w:hAnsi="Calibri"/>
          <w:color w:val="1F497D"/>
          <w:sz w:val="22"/>
          <w:szCs w:val="22"/>
        </w:rPr>
        <w:t xml:space="preserve"> </w:t>
      </w:r>
      <w:r w:rsidRPr="00224AB8">
        <w:rPr>
          <w:rFonts w:ascii="Calibri" w:hAnsi="Calibri"/>
          <w:color w:val="1F497D"/>
          <w:sz w:val="22"/>
          <w:szCs w:val="22"/>
          <w:shd w:val="clear" w:color="auto" w:fill="E7E6E6" w:themeFill="background2"/>
        </w:rPr>
        <w:t>Valdez (oil tankers/</w:t>
      </w:r>
      <w:r w:rsidRPr="00224AB8">
        <w:rPr>
          <w:rFonts w:ascii="Calibri" w:hAnsi="Calibri"/>
          <w:color w:val="1F497D"/>
          <w:sz w:val="22"/>
          <w:szCs w:val="22"/>
          <w:shd w:val="clear" w:color="auto" w:fill="E7E6E6" w:themeFill="background2"/>
        </w:rPr>
        <w:t>fishing)</w:t>
      </w:r>
    </w:p>
    <w:p w:rsidR="00224AB8" w:rsidRPr="00224AB8" w:rsidRDefault="00224AB8" w:rsidP="001E43D0">
      <w:pPr>
        <w:rPr>
          <w:rFonts w:ascii="Calibri" w:hAnsi="Calibri"/>
          <w:color w:val="1F497D"/>
          <w:sz w:val="22"/>
          <w:szCs w:val="22"/>
        </w:rPr>
      </w:pPr>
    </w:p>
    <w:p w:rsidR="00354B0A" w:rsidRPr="00354B0A" w:rsidRDefault="00354B0A" w:rsidP="00354B0A">
      <w:pPr>
        <w:pStyle w:val="Heading2"/>
        <w:rPr>
          <w:rStyle w:val="IntenseEmphasis"/>
          <w:i w:val="0"/>
        </w:rPr>
      </w:pPr>
      <w:r w:rsidRPr="00354B0A">
        <w:rPr>
          <w:rFonts w:ascii="Calibri" w:hAnsi="Calibri"/>
          <w:color w:val="1F497D"/>
          <w:sz w:val="22"/>
          <w:szCs w:val="22"/>
        </w:rPr>
        <w:t xml:space="preserve">In the </w:t>
      </w:r>
      <w:r>
        <w:rPr>
          <w:rFonts w:ascii="Calibri" w:hAnsi="Calibri"/>
          <w:color w:val="1F497D"/>
          <w:sz w:val="22"/>
          <w:szCs w:val="22"/>
        </w:rPr>
        <w:t>all sector summary Wrap crosstab, there are totals for each marine borough and they don’t match the NEI interactive map found online.  For example, there are marine emissions for NW Arctic borough and North Slope Borough in the WRAP crosstab but not listed in the EPA website or in the “</w:t>
      </w:r>
      <w:proofErr w:type="spellStart"/>
      <w:r w:rsidRPr="00354B0A">
        <w:rPr>
          <w:rFonts w:ascii="Calibri" w:hAnsi="Calibri"/>
          <w:i/>
          <w:iCs/>
          <w:color w:val="1F497D"/>
          <w:sz w:val="22"/>
          <w:szCs w:val="22"/>
        </w:rPr>
        <w:t>WRAP_Facility_CAPs</w:t>
      </w:r>
      <w:proofErr w:type="spellEnd"/>
      <w:r w:rsidRPr="00354B0A">
        <w:rPr>
          <w:rFonts w:ascii="Calibri" w:hAnsi="Calibri"/>
          <w:i/>
          <w:iCs/>
          <w:color w:val="1F497D"/>
          <w:sz w:val="22"/>
          <w:szCs w:val="22"/>
        </w:rPr>
        <w:t xml:space="preserve"> Summary </w:t>
      </w:r>
      <w:proofErr w:type="spellStart"/>
      <w:r w:rsidRPr="00354B0A">
        <w:rPr>
          <w:rFonts w:ascii="Calibri" w:hAnsi="Calibri"/>
          <w:i/>
          <w:iCs/>
          <w:color w:val="1F497D"/>
          <w:sz w:val="22"/>
          <w:szCs w:val="22"/>
        </w:rPr>
        <w:t>xlx</w:t>
      </w:r>
      <w:proofErr w:type="spellEnd"/>
      <w:r w:rsidRPr="00354B0A">
        <w:rPr>
          <w:rFonts w:ascii="Calibri" w:hAnsi="Calibri"/>
          <w:i/>
          <w:iCs/>
          <w:color w:val="1F497D"/>
          <w:sz w:val="22"/>
          <w:szCs w:val="22"/>
        </w:rPr>
        <w:t>” and “FHT2014NWEIv2_summary”</w:t>
      </w:r>
      <w:r>
        <w:rPr>
          <w:rFonts w:ascii="Calibri" w:hAnsi="Calibri"/>
          <w:i/>
          <w:iCs/>
          <w:color w:val="1F497D"/>
          <w:sz w:val="22"/>
          <w:szCs w:val="22"/>
        </w:rPr>
        <w:t xml:space="preserve">.  </w:t>
      </w:r>
      <w:r w:rsidRPr="00354B0A">
        <w:rPr>
          <w:rFonts w:ascii="Calibri" w:hAnsi="Calibri"/>
          <w:iCs/>
          <w:color w:val="1F497D"/>
          <w:sz w:val="22"/>
          <w:szCs w:val="22"/>
        </w:rPr>
        <w:t>It would be good</w:t>
      </w:r>
      <w:r>
        <w:rPr>
          <w:rFonts w:ascii="Calibri" w:hAnsi="Calibri"/>
          <w:i/>
          <w:iCs/>
          <w:color w:val="1F497D"/>
          <w:sz w:val="22"/>
          <w:szCs w:val="22"/>
        </w:rPr>
        <w:t xml:space="preserve"> </w:t>
      </w:r>
      <w:r>
        <w:rPr>
          <w:rFonts w:ascii="Calibri" w:hAnsi="Calibri"/>
          <w:iCs/>
          <w:color w:val="1F497D"/>
          <w:sz w:val="22"/>
          <w:szCs w:val="22"/>
        </w:rPr>
        <w:t xml:space="preserve">to include all the borough and port information but not all appears to be available in one place. </w:t>
      </w:r>
    </w:p>
    <w:p w:rsidR="00354B0A" w:rsidRDefault="00354B0A" w:rsidP="001E43D0">
      <w:pPr>
        <w:rPr>
          <w:rFonts w:ascii="Calibri" w:hAnsi="Calibri"/>
          <w:color w:val="1F497D"/>
          <w:sz w:val="22"/>
          <w:szCs w:val="22"/>
          <w:u w:val="single"/>
        </w:rPr>
      </w:pPr>
    </w:p>
    <w:p w:rsidR="00C10A82" w:rsidRDefault="00C10A82" w:rsidP="001E43D0">
      <w:pPr>
        <w:rPr>
          <w:rFonts w:ascii="Calibri" w:hAnsi="Calibri"/>
          <w:color w:val="1F497D"/>
          <w:sz w:val="22"/>
          <w:szCs w:val="22"/>
        </w:rPr>
      </w:pPr>
      <w:r w:rsidRPr="00C10A82">
        <w:rPr>
          <w:rFonts w:ascii="Calibri" w:hAnsi="Calibri"/>
          <w:color w:val="1F497D"/>
          <w:sz w:val="22"/>
          <w:szCs w:val="22"/>
        </w:rPr>
        <w:t xml:space="preserve">The SCC codes </w:t>
      </w:r>
      <w:r>
        <w:rPr>
          <w:rFonts w:ascii="Calibri" w:hAnsi="Calibri"/>
          <w:color w:val="1F497D"/>
          <w:sz w:val="22"/>
          <w:szCs w:val="22"/>
        </w:rPr>
        <w:t xml:space="preserve">applicable to marine operations include the following and these would be similar to those assigned to airports and aircraft operations. </w:t>
      </w:r>
    </w:p>
    <w:tbl>
      <w:tblPr>
        <w:tblStyle w:val="TableGrid"/>
        <w:tblW w:w="0" w:type="auto"/>
        <w:tblLook w:val="04A0" w:firstRow="1" w:lastRow="0" w:firstColumn="1" w:lastColumn="0" w:noHBand="0" w:noVBand="1"/>
      </w:tblPr>
      <w:tblGrid>
        <w:gridCol w:w="2065"/>
        <w:gridCol w:w="7285"/>
      </w:tblGrid>
      <w:tr w:rsidR="00C10A82" w:rsidTr="00C10A82">
        <w:tc>
          <w:tcPr>
            <w:tcW w:w="2065" w:type="dxa"/>
            <w:shd w:val="clear" w:color="auto" w:fill="E7E6E6" w:themeFill="background2"/>
          </w:tcPr>
          <w:p w:rsidR="00C10A82" w:rsidRDefault="00C10A82" w:rsidP="001E43D0">
            <w:pPr>
              <w:rPr>
                <w:rFonts w:ascii="Calibri" w:hAnsi="Calibri"/>
                <w:color w:val="1F497D"/>
                <w:sz w:val="22"/>
                <w:szCs w:val="22"/>
              </w:rPr>
            </w:pPr>
            <w:r>
              <w:rPr>
                <w:rFonts w:ascii="Calibri" w:hAnsi="Calibri"/>
                <w:color w:val="1F497D"/>
                <w:sz w:val="22"/>
                <w:szCs w:val="22"/>
              </w:rPr>
              <w:t>SCC</w:t>
            </w:r>
          </w:p>
        </w:tc>
        <w:tc>
          <w:tcPr>
            <w:tcW w:w="7285" w:type="dxa"/>
            <w:shd w:val="clear" w:color="auto" w:fill="E7E6E6" w:themeFill="background2"/>
          </w:tcPr>
          <w:p w:rsidR="00C10A82" w:rsidRDefault="00C10A82" w:rsidP="001E43D0">
            <w:pPr>
              <w:rPr>
                <w:rFonts w:ascii="Calibri" w:hAnsi="Calibri"/>
                <w:color w:val="1F497D"/>
                <w:sz w:val="22"/>
                <w:szCs w:val="22"/>
              </w:rPr>
            </w:pPr>
            <w:r>
              <w:rPr>
                <w:rFonts w:ascii="Calibri" w:hAnsi="Calibri"/>
                <w:color w:val="1F497D"/>
                <w:sz w:val="22"/>
                <w:szCs w:val="22"/>
              </w:rPr>
              <w:t>SCC Description</w:t>
            </w:r>
          </w:p>
        </w:tc>
      </w:tr>
      <w:tr w:rsidR="00C10A82" w:rsidTr="00C10A82">
        <w:tc>
          <w:tcPr>
            <w:tcW w:w="2065" w:type="dxa"/>
          </w:tcPr>
          <w:p w:rsidR="00C10A82" w:rsidRDefault="00C10A82" w:rsidP="001E43D0">
            <w:pPr>
              <w:rPr>
                <w:rFonts w:ascii="Calibri" w:hAnsi="Calibri"/>
                <w:color w:val="1F497D"/>
                <w:sz w:val="22"/>
                <w:szCs w:val="22"/>
              </w:rPr>
            </w:pPr>
            <w:r>
              <w:rPr>
                <w:rFonts w:ascii="Calibri" w:hAnsi="Calibri"/>
                <w:color w:val="1F497D"/>
                <w:sz w:val="22"/>
                <w:szCs w:val="22"/>
              </w:rPr>
              <w:t>2280002100</w:t>
            </w:r>
          </w:p>
        </w:tc>
        <w:tc>
          <w:tcPr>
            <w:tcW w:w="7285" w:type="dxa"/>
          </w:tcPr>
          <w:p w:rsidR="00C10A82" w:rsidRDefault="00C10A82" w:rsidP="001E43D0">
            <w:pPr>
              <w:rPr>
                <w:rFonts w:ascii="Calibri" w:hAnsi="Calibri"/>
                <w:color w:val="1F497D"/>
                <w:sz w:val="22"/>
                <w:szCs w:val="22"/>
              </w:rPr>
            </w:pPr>
            <w:r>
              <w:rPr>
                <w:rFonts w:ascii="Calibri" w:hAnsi="Calibri"/>
                <w:color w:val="1F497D"/>
                <w:sz w:val="22"/>
                <w:szCs w:val="22"/>
              </w:rPr>
              <w:t>Marine Vessels, Commercial Diesel port</w:t>
            </w:r>
          </w:p>
        </w:tc>
      </w:tr>
      <w:tr w:rsidR="00C10A82" w:rsidTr="00C10A82">
        <w:tc>
          <w:tcPr>
            <w:tcW w:w="2065" w:type="dxa"/>
          </w:tcPr>
          <w:p w:rsidR="00C10A82" w:rsidRDefault="00C10A82" w:rsidP="00C10A82">
            <w:pPr>
              <w:rPr>
                <w:rFonts w:ascii="Calibri" w:hAnsi="Calibri"/>
                <w:color w:val="1F497D"/>
                <w:sz w:val="22"/>
                <w:szCs w:val="22"/>
              </w:rPr>
            </w:pPr>
            <w:r>
              <w:rPr>
                <w:rFonts w:ascii="Calibri" w:hAnsi="Calibri"/>
                <w:color w:val="1F497D"/>
                <w:sz w:val="22"/>
                <w:szCs w:val="22"/>
              </w:rPr>
              <w:t>2280002200</w:t>
            </w:r>
          </w:p>
        </w:tc>
        <w:tc>
          <w:tcPr>
            <w:tcW w:w="7285" w:type="dxa"/>
          </w:tcPr>
          <w:p w:rsidR="00C10A82" w:rsidRDefault="00C10A82" w:rsidP="00C10A82">
            <w:r w:rsidRPr="00A00758">
              <w:rPr>
                <w:rFonts w:ascii="Calibri" w:hAnsi="Calibri"/>
                <w:color w:val="1F497D"/>
                <w:sz w:val="22"/>
                <w:szCs w:val="22"/>
              </w:rPr>
              <w:t xml:space="preserve">Marine Vessels, </w:t>
            </w:r>
            <w:r>
              <w:rPr>
                <w:rFonts w:ascii="Calibri" w:hAnsi="Calibri"/>
                <w:color w:val="1F497D"/>
                <w:sz w:val="22"/>
                <w:szCs w:val="22"/>
              </w:rPr>
              <w:t xml:space="preserve">Commercial Diesel </w:t>
            </w:r>
            <w:r>
              <w:rPr>
                <w:rFonts w:ascii="Calibri" w:hAnsi="Calibri"/>
                <w:color w:val="1F497D"/>
                <w:sz w:val="22"/>
                <w:szCs w:val="22"/>
              </w:rPr>
              <w:t>underway</w:t>
            </w:r>
          </w:p>
        </w:tc>
      </w:tr>
      <w:tr w:rsidR="00C10A82" w:rsidTr="00C10A82">
        <w:tc>
          <w:tcPr>
            <w:tcW w:w="2065" w:type="dxa"/>
          </w:tcPr>
          <w:p w:rsidR="00C10A82" w:rsidRDefault="00C10A82" w:rsidP="00C10A82">
            <w:pPr>
              <w:rPr>
                <w:rFonts w:ascii="Calibri" w:hAnsi="Calibri"/>
                <w:color w:val="1F497D"/>
                <w:sz w:val="22"/>
                <w:szCs w:val="22"/>
              </w:rPr>
            </w:pPr>
            <w:r>
              <w:rPr>
                <w:rFonts w:ascii="Calibri" w:hAnsi="Calibri"/>
                <w:color w:val="1F497D"/>
                <w:sz w:val="22"/>
                <w:szCs w:val="22"/>
              </w:rPr>
              <w:t>228000</w:t>
            </w:r>
            <w:r>
              <w:rPr>
                <w:rFonts w:ascii="Calibri" w:hAnsi="Calibri"/>
                <w:color w:val="1F497D"/>
                <w:sz w:val="22"/>
                <w:szCs w:val="22"/>
              </w:rPr>
              <w:t>3100</w:t>
            </w:r>
          </w:p>
        </w:tc>
        <w:tc>
          <w:tcPr>
            <w:tcW w:w="7285" w:type="dxa"/>
          </w:tcPr>
          <w:p w:rsidR="00C10A82" w:rsidRDefault="00C10A82" w:rsidP="00C10A82">
            <w:r w:rsidRPr="00A00758">
              <w:rPr>
                <w:rFonts w:ascii="Calibri" w:hAnsi="Calibri"/>
                <w:color w:val="1F497D"/>
                <w:sz w:val="22"/>
                <w:szCs w:val="22"/>
              </w:rPr>
              <w:t xml:space="preserve">Marine Vessels, </w:t>
            </w:r>
            <w:r>
              <w:rPr>
                <w:rFonts w:ascii="Calibri" w:hAnsi="Calibri"/>
                <w:color w:val="1F497D"/>
                <w:sz w:val="22"/>
                <w:szCs w:val="22"/>
              </w:rPr>
              <w:t>Commercial Residual Port</w:t>
            </w:r>
          </w:p>
        </w:tc>
      </w:tr>
      <w:tr w:rsidR="00C10A82" w:rsidTr="00C10A82">
        <w:tc>
          <w:tcPr>
            <w:tcW w:w="2065" w:type="dxa"/>
          </w:tcPr>
          <w:p w:rsidR="00C10A82" w:rsidRDefault="00C10A82" w:rsidP="00C10A82">
            <w:pPr>
              <w:rPr>
                <w:rFonts w:ascii="Calibri" w:hAnsi="Calibri"/>
                <w:color w:val="1F497D"/>
                <w:sz w:val="22"/>
                <w:szCs w:val="22"/>
              </w:rPr>
            </w:pPr>
            <w:r>
              <w:rPr>
                <w:rFonts w:ascii="Calibri" w:hAnsi="Calibri"/>
                <w:color w:val="1F497D"/>
                <w:sz w:val="22"/>
                <w:szCs w:val="22"/>
              </w:rPr>
              <w:t>2280003200</w:t>
            </w:r>
          </w:p>
        </w:tc>
        <w:tc>
          <w:tcPr>
            <w:tcW w:w="7285" w:type="dxa"/>
          </w:tcPr>
          <w:p w:rsidR="00C10A82" w:rsidRDefault="00C10A82" w:rsidP="00C10A82">
            <w:r w:rsidRPr="00A00758">
              <w:rPr>
                <w:rFonts w:ascii="Calibri" w:hAnsi="Calibri"/>
                <w:color w:val="1F497D"/>
                <w:sz w:val="22"/>
                <w:szCs w:val="22"/>
              </w:rPr>
              <w:t xml:space="preserve">Marine Vessels, </w:t>
            </w:r>
            <w:r>
              <w:rPr>
                <w:rFonts w:ascii="Calibri" w:hAnsi="Calibri"/>
                <w:color w:val="1F497D"/>
                <w:sz w:val="22"/>
                <w:szCs w:val="22"/>
              </w:rPr>
              <w:t>Commercial Residual</w:t>
            </w:r>
            <w:r>
              <w:rPr>
                <w:rFonts w:ascii="Calibri" w:hAnsi="Calibri"/>
                <w:color w:val="1F497D"/>
                <w:sz w:val="22"/>
                <w:szCs w:val="22"/>
              </w:rPr>
              <w:t xml:space="preserve"> Underway</w:t>
            </w:r>
          </w:p>
        </w:tc>
      </w:tr>
    </w:tbl>
    <w:p w:rsidR="00C10A82" w:rsidRDefault="00C10A82" w:rsidP="001E43D0">
      <w:pPr>
        <w:rPr>
          <w:rFonts w:ascii="Calibri" w:hAnsi="Calibri"/>
          <w:color w:val="1F497D"/>
          <w:sz w:val="22"/>
          <w:szCs w:val="22"/>
        </w:rPr>
      </w:pPr>
    </w:p>
    <w:p w:rsidR="00C10A82" w:rsidRPr="00C10A82" w:rsidRDefault="00C10A82" w:rsidP="001E43D0">
      <w:pPr>
        <w:rPr>
          <w:rFonts w:ascii="Calibri" w:hAnsi="Calibri"/>
          <w:color w:val="1F497D"/>
          <w:sz w:val="22"/>
          <w:szCs w:val="22"/>
        </w:rPr>
      </w:pPr>
    </w:p>
    <w:p w:rsidR="00C10A82" w:rsidRPr="00354B0A" w:rsidRDefault="00C10A82" w:rsidP="001E43D0">
      <w:pPr>
        <w:rPr>
          <w:rFonts w:ascii="Calibri" w:hAnsi="Calibri"/>
          <w:b/>
          <w:i/>
          <w:color w:val="1F497D"/>
          <w:sz w:val="22"/>
          <w:szCs w:val="22"/>
        </w:rPr>
      </w:pPr>
      <w:r w:rsidRPr="00354B0A">
        <w:rPr>
          <w:rFonts w:ascii="Calibri" w:hAnsi="Calibri"/>
          <w:b/>
          <w:i/>
          <w:color w:val="1F497D"/>
          <w:sz w:val="22"/>
          <w:szCs w:val="22"/>
        </w:rPr>
        <w:lastRenderedPageBreak/>
        <w:t>Why does this matter?</w:t>
      </w:r>
    </w:p>
    <w:p w:rsidR="001E43D0" w:rsidRDefault="001E43D0" w:rsidP="001E43D0">
      <w:pPr>
        <w:rPr>
          <w:rFonts w:ascii="Calibri" w:hAnsi="Calibri"/>
          <w:color w:val="1F497D"/>
          <w:sz w:val="22"/>
          <w:szCs w:val="22"/>
        </w:rPr>
      </w:pPr>
      <w:r>
        <w:rPr>
          <w:rFonts w:ascii="Calibri" w:hAnsi="Calibri"/>
          <w:color w:val="1F497D"/>
          <w:sz w:val="22"/>
          <w:szCs w:val="22"/>
        </w:rPr>
        <w:t xml:space="preserve">We have high levels of sulfur showing in the IMPROVE monitors and we tend to point the finger at international marine.  </w:t>
      </w:r>
      <w:r w:rsidR="00C10A82">
        <w:rPr>
          <w:rFonts w:ascii="Calibri" w:hAnsi="Calibri"/>
          <w:color w:val="1F497D"/>
          <w:sz w:val="22"/>
          <w:szCs w:val="22"/>
        </w:rPr>
        <w:t xml:space="preserve">It would be valuable to identify AK anthropogenic marine operations to show that it is very minor and would not support the high sulfur on the improve sites.  We may not be able to quantify the international but this would support the approach we will take for not including control measures.  </w:t>
      </w:r>
    </w:p>
    <w:p w:rsidR="001E43D0" w:rsidRPr="001E43D0" w:rsidRDefault="001E43D0" w:rsidP="001E43D0">
      <w:pPr>
        <w:rPr>
          <w:rFonts w:ascii="Calibri" w:hAnsi="Calibri"/>
          <w:color w:val="1F497D"/>
          <w:sz w:val="22"/>
          <w:szCs w:val="22"/>
          <w:u w:val="single"/>
        </w:rPr>
      </w:pPr>
    </w:p>
    <w:p w:rsidR="001E43D0" w:rsidRDefault="00334ED0" w:rsidP="001E43D0">
      <w:pPr>
        <w:rPr>
          <w:rFonts w:ascii="Calibri" w:hAnsi="Calibri"/>
          <w:color w:val="1F497D"/>
          <w:sz w:val="22"/>
          <w:szCs w:val="22"/>
        </w:rPr>
      </w:pPr>
      <w:r>
        <w:rPr>
          <w:rFonts w:ascii="Calibri" w:hAnsi="Calibri"/>
          <w:color w:val="1F497D"/>
          <w:sz w:val="22"/>
          <w:szCs w:val="22"/>
        </w:rPr>
        <w:t xml:space="preserve">In the pivot table and NEIv2 </w:t>
      </w:r>
      <w:r w:rsidR="001E43D0">
        <w:rPr>
          <w:rFonts w:ascii="Calibri" w:hAnsi="Calibri"/>
          <w:color w:val="1F497D"/>
          <w:sz w:val="22"/>
          <w:szCs w:val="22"/>
        </w:rPr>
        <w:t>Commercial Marine Emissions -</w:t>
      </w:r>
      <w:r w:rsidR="001E43D0" w:rsidRPr="001E43D0">
        <w:rPr>
          <w:rFonts w:ascii="Calibri" w:hAnsi="Calibri"/>
          <w:color w:val="1F497D"/>
          <w:sz w:val="22"/>
          <w:szCs w:val="22"/>
        </w:rPr>
        <w:t xml:space="preserve"> </w:t>
      </w:r>
      <w:r w:rsidR="001E43D0">
        <w:rPr>
          <w:rFonts w:ascii="Calibri" w:hAnsi="Calibri"/>
          <w:color w:val="1F497D"/>
          <w:sz w:val="22"/>
          <w:szCs w:val="22"/>
        </w:rPr>
        <w:t xml:space="preserve">there is a high level </w:t>
      </w:r>
      <w:r>
        <w:rPr>
          <w:rFonts w:ascii="Calibri" w:hAnsi="Calibri"/>
          <w:color w:val="1F497D"/>
          <w:sz w:val="22"/>
          <w:szCs w:val="22"/>
        </w:rPr>
        <w:t xml:space="preserve">noted in the </w:t>
      </w:r>
      <w:r w:rsidR="001E43D0">
        <w:rPr>
          <w:rFonts w:ascii="Calibri" w:hAnsi="Calibri"/>
          <w:color w:val="1F497D"/>
          <w:sz w:val="22"/>
          <w:szCs w:val="22"/>
        </w:rPr>
        <w:t xml:space="preserve">commercial marine vessels </w:t>
      </w:r>
      <w:r>
        <w:rPr>
          <w:rFonts w:ascii="Calibri" w:hAnsi="Calibri"/>
          <w:color w:val="1F497D"/>
          <w:sz w:val="22"/>
          <w:szCs w:val="22"/>
        </w:rPr>
        <w:t xml:space="preserve">bar tab.  This </w:t>
      </w:r>
      <w:r w:rsidR="00C9728D">
        <w:rPr>
          <w:rFonts w:ascii="Calibri" w:hAnsi="Calibri"/>
          <w:color w:val="1F497D"/>
          <w:sz w:val="22"/>
          <w:szCs w:val="22"/>
        </w:rPr>
        <w:t xml:space="preserve">does not equate with the data in the tables provided with the v.2 data.  I looked at EPA NEI 2014 v.2 interactive web site for the graphics I am including.   </w:t>
      </w:r>
      <w:hyperlink r:id="rId4" w:history="1">
        <w:r w:rsidR="00C9728D" w:rsidRPr="00881156">
          <w:rPr>
            <w:rStyle w:val="Hyperlink"/>
            <w:rFonts w:ascii="Calibri" w:hAnsi="Calibri"/>
            <w:sz w:val="22"/>
            <w:szCs w:val="22"/>
          </w:rPr>
          <w:t>https://edap.epa.gov/public/extensions/nei_report_2014/dashboard.html#process-db</w:t>
        </w:r>
      </w:hyperlink>
    </w:p>
    <w:p w:rsidR="00C9728D" w:rsidRDefault="00C9728D" w:rsidP="001E43D0">
      <w:pPr>
        <w:rPr>
          <w:noProof/>
        </w:rPr>
      </w:pPr>
    </w:p>
    <w:p w:rsidR="00334ED0" w:rsidRDefault="00334ED0" w:rsidP="001E43D0">
      <w:pPr>
        <w:rPr>
          <w:rFonts w:ascii="Calibri" w:hAnsi="Calibri"/>
          <w:color w:val="1F497D"/>
          <w:sz w:val="22"/>
          <w:szCs w:val="22"/>
          <w:u w:val="single"/>
        </w:rPr>
      </w:pPr>
      <w:r>
        <w:rPr>
          <w:noProof/>
        </w:rPr>
        <w:drawing>
          <wp:inline distT="0" distB="0" distL="0" distR="0" wp14:anchorId="55E1AB22" wp14:editId="1F37C177">
            <wp:extent cx="5943600" cy="2612390"/>
            <wp:effectExtent l="19050" t="19050" r="1905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612390"/>
                    </a:xfrm>
                    <a:prstGeom prst="rect">
                      <a:avLst/>
                    </a:prstGeom>
                    <a:ln w="6350">
                      <a:solidFill>
                        <a:schemeClr val="tx1"/>
                      </a:solidFill>
                    </a:ln>
                  </pic:spPr>
                </pic:pic>
              </a:graphicData>
            </a:graphic>
          </wp:inline>
        </w:drawing>
      </w:r>
    </w:p>
    <w:p w:rsidR="00334ED0" w:rsidRDefault="00334ED0" w:rsidP="001E43D0">
      <w:pPr>
        <w:rPr>
          <w:rFonts w:ascii="Calibri" w:hAnsi="Calibri"/>
          <w:color w:val="1F497D"/>
          <w:sz w:val="22"/>
          <w:szCs w:val="22"/>
          <w:u w:val="single"/>
        </w:rPr>
      </w:pPr>
    </w:p>
    <w:p w:rsidR="00C9728D" w:rsidRDefault="00C9728D" w:rsidP="001E43D0">
      <w:pPr>
        <w:rPr>
          <w:noProof/>
        </w:rPr>
      </w:pPr>
      <w:r w:rsidRPr="00C9728D">
        <w:rPr>
          <w:rFonts w:ascii="Calibri" w:hAnsi="Calibri"/>
          <w:color w:val="1F497D"/>
          <w:sz w:val="22"/>
          <w:szCs w:val="22"/>
        </w:rPr>
        <w:t xml:space="preserve">According to EPA, </w:t>
      </w:r>
      <w:r>
        <w:rPr>
          <w:rFonts w:ascii="Calibri" w:hAnsi="Calibri"/>
          <w:color w:val="1F497D"/>
          <w:sz w:val="22"/>
          <w:szCs w:val="22"/>
        </w:rPr>
        <w:t>the data comes from the following portions of the State:</w:t>
      </w:r>
    </w:p>
    <w:p w:rsidR="00C9728D" w:rsidRDefault="00C9728D" w:rsidP="001E43D0">
      <w:pPr>
        <w:rPr>
          <w:rFonts w:ascii="Calibri" w:hAnsi="Calibri"/>
          <w:color w:val="1F497D"/>
          <w:sz w:val="22"/>
          <w:szCs w:val="22"/>
          <w:u w:val="single"/>
        </w:rPr>
      </w:pPr>
      <w:r>
        <w:rPr>
          <w:noProof/>
        </w:rPr>
        <w:drawing>
          <wp:inline distT="0" distB="0" distL="0" distR="0" wp14:anchorId="78F3E79C" wp14:editId="2195564F">
            <wp:extent cx="3457563" cy="30508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1731"/>
                    <a:stretch/>
                  </pic:blipFill>
                  <pic:spPr bwMode="auto">
                    <a:xfrm>
                      <a:off x="0" y="0"/>
                      <a:ext cx="3467526" cy="3059655"/>
                    </a:xfrm>
                    <a:prstGeom prst="rect">
                      <a:avLst/>
                    </a:prstGeom>
                    <a:ln>
                      <a:noFill/>
                    </a:ln>
                    <a:extLst>
                      <a:ext uri="{53640926-AAD7-44D8-BBD7-CCE9431645EC}">
                        <a14:shadowObscured xmlns:a14="http://schemas.microsoft.com/office/drawing/2010/main"/>
                      </a:ext>
                    </a:extLst>
                  </pic:spPr>
                </pic:pic>
              </a:graphicData>
            </a:graphic>
          </wp:inline>
        </w:drawing>
      </w:r>
    </w:p>
    <w:p w:rsidR="00C9728D" w:rsidRDefault="00C9728D" w:rsidP="001E43D0">
      <w:pPr>
        <w:rPr>
          <w:rFonts w:ascii="Calibri" w:hAnsi="Calibri"/>
          <w:color w:val="1F497D"/>
          <w:sz w:val="22"/>
          <w:szCs w:val="22"/>
          <w:u w:val="single"/>
        </w:rPr>
      </w:pPr>
    </w:p>
    <w:p w:rsidR="00C9728D" w:rsidRDefault="00C9728D" w:rsidP="001E43D0">
      <w:pPr>
        <w:rPr>
          <w:rFonts w:ascii="Calibri" w:hAnsi="Calibri"/>
          <w:color w:val="1F497D"/>
          <w:sz w:val="22"/>
          <w:szCs w:val="22"/>
          <w:u w:val="single"/>
        </w:rPr>
      </w:pPr>
    </w:p>
    <w:p w:rsidR="001E43D0" w:rsidRPr="001E43D0" w:rsidRDefault="001E43D0" w:rsidP="00224AB8">
      <w:pPr>
        <w:pStyle w:val="Heading1"/>
      </w:pPr>
      <w:r w:rsidRPr="001E43D0">
        <w:t>Dust</w:t>
      </w:r>
    </w:p>
    <w:p w:rsidR="00324268" w:rsidRDefault="0021247F" w:rsidP="001E43D0">
      <w:pPr>
        <w:rPr>
          <w:rFonts w:ascii="Calibri" w:hAnsi="Calibri"/>
          <w:color w:val="1F497D"/>
          <w:sz w:val="22"/>
          <w:szCs w:val="22"/>
        </w:rPr>
      </w:pPr>
      <w:r>
        <w:rPr>
          <w:rFonts w:ascii="Calibri" w:hAnsi="Calibri"/>
          <w:color w:val="1F497D"/>
          <w:sz w:val="22"/>
          <w:szCs w:val="22"/>
        </w:rPr>
        <w:t>The levels in the unpaved road dust seem very high.  We do have a dust problem but many rural locations would not affect Class I areas.  The following map was completed recently and identifies rural communities that complain of dust.   AK did not draft road dust data in 2014 and solely relied upon EPA.  I think this number is high and additional data on non-paved road dust would be appreciated.</w:t>
      </w:r>
    </w:p>
    <w:p w:rsidR="0021247F" w:rsidRDefault="0021247F" w:rsidP="001E43D0">
      <w:pPr>
        <w:rPr>
          <w:rFonts w:ascii="Calibri" w:hAnsi="Calibri"/>
          <w:color w:val="1F497D"/>
          <w:sz w:val="22"/>
          <w:szCs w:val="22"/>
        </w:rPr>
      </w:pPr>
    </w:p>
    <w:p w:rsidR="0021247F" w:rsidRDefault="0021247F" w:rsidP="001E43D0">
      <w:pPr>
        <w:rPr>
          <w:rFonts w:ascii="Calibri" w:hAnsi="Calibri"/>
          <w:color w:val="1F497D"/>
          <w:sz w:val="22"/>
          <w:szCs w:val="22"/>
        </w:rPr>
      </w:pPr>
      <w:r>
        <w:rPr>
          <w:noProof/>
        </w:rPr>
        <w:drawing>
          <wp:inline distT="0" distB="0" distL="0" distR="0" wp14:anchorId="57696719" wp14:editId="79CCC884">
            <wp:extent cx="3784929" cy="291916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1785" cy="2924454"/>
                    </a:xfrm>
                    <a:prstGeom prst="rect">
                      <a:avLst/>
                    </a:prstGeom>
                  </pic:spPr>
                </pic:pic>
              </a:graphicData>
            </a:graphic>
          </wp:inline>
        </w:drawing>
      </w:r>
    </w:p>
    <w:p w:rsidR="00324268" w:rsidRDefault="00324268" w:rsidP="001E43D0">
      <w:pPr>
        <w:rPr>
          <w:rFonts w:ascii="Calibri" w:hAnsi="Calibri"/>
          <w:color w:val="1F497D"/>
          <w:sz w:val="22"/>
          <w:szCs w:val="22"/>
        </w:rPr>
      </w:pPr>
    </w:p>
    <w:p w:rsidR="0021247F" w:rsidRDefault="0021247F" w:rsidP="0021247F">
      <w:pPr>
        <w:pStyle w:val="Heading1"/>
      </w:pPr>
      <w:r>
        <w:t xml:space="preserve">Wildfires </w:t>
      </w:r>
    </w:p>
    <w:p w:rsidR="0021247F" w:rsidRDefault="0021247F" w:rsidP="001E43D0">
      <w:r>
        <w:t xml:space="preserve">I admit we have really large fire years. </w:t>
      </w:r>
      <w:r w:rsidR="00115C53">
        <w:t xml:space="preserve">In 2014 Alaska used specific vegetation types that represent the vegetation we have here.  EPA used more general information for species in the lower 48.  Still our numbers were close.  For PM 2.5 prescribed fires we listed 7,316 tons and for Wildfires we listed 152,031 tons emitted. From what I can see in the Summary AK spreadsheet, EPA lists prescribed fires PM2.5 as roughly the same but wildfire PM2.5 is approximately 200,000+. This is a big difference.  I would like to incorporate AK emission inventory for wildfires as I believe it is more accurate. </w:t>
      </w:r>
    </w:p>
    <w:p w:rsidR="005641AE" w:rsidRDefault="005641AE" w:rsidP="001E43D0"/>
    <w:p w:rsidR="005641AE" w:rsidRDefault="005641AE" w:rsidP="00CB5785">
      <w:pPr>
        <w:pStyle w:val="Heading1"/>
      </w:pPr>
      <w:r>
        <w:t>Oil and Gas</w:t>
      </w:r>
    </w:p>
    <w:p w:rsidR="00F57B07" w:rsidRDefault="005641AE" w:rsidP="001E43D0">
      <w:r>
        <w:t>In looking at the</w:t>
      </w:r>
      <w:r w:rsidR="00CB5785">
        <w:t xml:space="preserve"> data provided for the NEI 2014v.2 and am not sure it is complete.  It may be for the oil and gas Type A and B sources.  Why is it not complete?  It seems AK did not report all the permits it has for the nonpoint data information.  For example, </w:t>
      </w:r>
      <w:r w:rsidR="00F57B07">
        <w:t xml:space="preserve">mobile </w:t>
      </w:r>
      <w:r w:rsidR="00CB5785">
        <w:t>drilling rigs are not included,</w:t>
      </w:r>
      <w:r w:rsidR="00CB1317">
        <w:t xml:space="preserve"> and </w:t>
      </w:r>
      <w:r w:rsidR="00F57B07">
        <w:t xml:space="preserve">I’m guessing </w:t>
      </w:r>
      <w:r w:rsidR="00CB1317">
        <w:t>that</w:t>
      </w:r>
      <w:r w:rsidR="00F57B07">
        <w:t xml:space="preserve"> there are other smaller oil and gas activities and sources that are missing from the data but covered under a general permit. I don’t expect EPA to have this data in the NEI but at some point it would be nice to have.  I will probably do a review and list for the O&amp;G working group.</w:t>
      </w:r>
      <w:bookmarkStart w:id="0" w:name="_GoBack"/>
      <w:bookmarkEnd w:id="0"/>
    </w:p>
    <w:p w:rsidR="00F57B07" w:rsidRDefault="00F57B07" w:rsidP="001E43D0"/>
    <w:p w:rsidR="005641AE" w:rsidRDefault="00CB5785" w:rsidP="001E43D0">
      <w:pPr>
        <w:rPr>
          <w:rFonts w:ascii="Calibri" w:hAnsi="Calibri"/>
          <w:color w:val="1F497D"/>
          <w:sz w:val="22"/>
          <w:szCs w:val="22"/>
        </w:rPr>
      </w:pPr>
      <w:r>
        <w:t xml:space="preserve">I will be looking at the data more specifically for the O&amp;G WG.  </w:t>
      </w:r>
    </w:p>
    <w:sectPr w:rsidR="00564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D0"/>
    <w:rsid w:val="00115C53"/>
    <w:rsid w:val="001E43D0"/>
    <w:rsid w:val="0021247F"/>
    <w:rsid w:val="00224AB8"/>
    <w:rsid w:val="00324268"/>
    <w:rsid w:val="00334ED0"/>
    <w:rsid w:val="00354B0A"/>
    <w:rsid w:val="004F3A03"/>
    <w:rsid w:val="005641AE"/>
    <w:rsid w:val="00A91157"/>
    <w:rsid w:val="00AF2A0F"/>
    <w:rsid w:val="00C10A82"/>
    <w:rsid w:val="00C9728D"/>
    <w:rsid w:val="00CB1317"/>
    <w:rsid w:val="00CB5785"/>
    <w:rsid w:val="00E33817"/>
    <w:rsid w:val="00F5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22FDD-1FD2-4054-A0BC-9861F17C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D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24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A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F2A0F"/>
    <w:rPr>
      <w:i/>
      <w:iCs/>
      <w:color w:val="5B9BD5" w:themeColor="accent1"/>
    </w:rPr>
  </w:style>
  <w:style w:type="character" w:customStyle="1" w:styleId="Heading2Char">
    <w:name w:val="Heading 2 Char"/>
    <w:basedOn w:val="DefaultParagraphFont"/>
    <w:link w:val="Heading2"/>
    <w:uiPriority w:val="9"/>
    <w:rsid w:val="00AF2A0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10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728D"/>
    <w:rPr>
      <w:color w:val="0563C1" w:themeColor="hyperlink"/>
      <w:u w:val="single"/>
    </w:rPr>
  </w:style>
  <w:style w:type="character" w:customStyle="1" w:styleId="Heading1Char">
    <w:name w:val="Heading 1 Char"/>
    <w:basedOn w:val="DefaultParagraphFont"/>
    <w:link w:val="Heading1"/>
    <w:uiPriority w:val="9"/>
    <w:rsid w:val="00224A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edap.epa.gov/public/extensions/nei_report_2014/dashboard.html#process-d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Birnbaum, Molly</dc:creator>
  <cp:keywords/>
  <dc:description/>
  <cp:lastModifiedBy>Birnbaum, Molly</cp:lastModifiedBy>
  <cp:revision>3</cp:revision>
  <dcterms:created xsi:type="dcterms:W3CDTF">2018-07-25T17:17:00Z</dcterms:created>
  <dcterms:modified xsi:type="dcterms:W3CDTF">2018-07-25T21:57:00Z</dcterms:modified>
</cp:coreProperties>
</file>